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4577" w:rsidRDefault="004E0A2F">
      <w:pPr>
        <w:rPr>
          <w:rFonts w:ascii="Arial" w:eastAsia="Arial" w:hAnsi="Arial" w:cs="Arial"/>
          <w:b/>
          <w:sz w:val="36"/>
          <w:szCs w:val="36"/>
        </w:rPr>
      </w:pPr>
      <w:r>
        <w:rPr>
          <w:rFonts w:ascii="Arial" w:eastAsia="Arial" w:hAnsi="Arial" w:cs="Arial"/>
          <w:b/>
          <w:sz w:val="36"/>
          <w:szCs w:val="36"/>
        </w:rPr>
        <w:t>Joint Schedule 12 (Supply Chain Visibility)</w:t>
      </w:r>
    </w:p>
    <w:p w:rsidR="002F4577" w:rsidRDefault="004E0A2F">
      <w:pPr>
        <w:numPr>
          <w:ilvl w:val="0"/>
          <w:numId w:val="3"/>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Definitions </w:t>
      </w:r>
    </w:p>
    <w:p w:rsidR="002F4577" w:rsidRDefault="002F4577">
      <w:pPr>
        <w:pBdr>
          <w:top w:val="nil"/>
          <w:left w:val="nil"/>
          <w:bottom w:val="nil"/>
          <w:right w:val="nil"/>
          <w:between w:val="nil"/>
        </w:pBdr>
        <w:spacing w:after="0"/>
        <w:ind w:left="720"/>
        <w:rPr>
          <w:rFonts w:ascii="Arial" w:eastAsia="Arial" w:hAnsi="Arial" w:cs="Arial"/>
          <w:b/>
          <w:color w:val="000000"/>
          <w:sz w:val="24"/>
          <w:szCs w:val="24"/>
        </w:rPr>
      </w:pPr>
    </w:p>
    <w:p w:rsidR="002F4577" w:rsidRDefault="004E0A2F">
      <w:pPr>
        <w:pBdr>
          <w:top w:val="nil"/>
          <w:left w:val="nil"/>
          <w:bottom w:val="nil"/>
          <w:right w:val="nil"/>
          <w:between w:val="nil"/>
        </w:pBdr>
        <w:ind w:left="720" w:hanging="436"/>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198" w:type="dxa"/>
        <w:tblInd w:w="528"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2F4577">
        <w:trPr>
          <w:trHeight w:val="20"/>
        </w:trPr>
        <w:tc>
          <w:tcPr>
            <w:tcW w:w="3342" w:type="dxa"/>
          </w:tcPr>
          <w:p w:rsidR="002F4577" w:rsidRDefault="004E0A2F">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rsidR="002F4577" w:rsidRDefault="004E0A2F">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2F4577">
        <w:trPr>
          <w:trHeight w:val="20"/>
        </w:trPr>
        <w:tc>
          <w:tcPr>
            <w:tcW w:w="3342" w:type="dxa"/>
          </w:tcPr>
          <w:p w:rsidR="002F4577" w:rsidRDefault="004E0A2F">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rsidR="002F4577" w:rsidRDefault="004E0A2F">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2F4577">
        <w:trPr>
          <w:trHeight w:val="20"/>
        </w:trPr>
        <w:tc>
          <w:tcPr>
            <w:tcW w:w="3342" w:type="dxa"/>
          </w:tcPr>
          <w:p w:rsidR="002F4577" w:rsidRDefault="004E0A2F">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rsidR="002F4577" w:rsidRDefault="004E0A2F">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Joint Schedule 12; and</w:t>
            </w:r>
          </w:p>
        </w:tc>
      </w:tr>
      <w:tr w:rsidR="002F4577">
        <w:trPr>
          <w:trHeight w:val="20"/>
        </w:trPr>
        <w:tc>
          <w:tcPr>
            <w:tcW w:w="3342" w:type="dxa"/>
          </w:tcPr>
          <w:p w:rsidR="002F4577" w:rsidRDefault="004E0A2F">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rsidR="002F4577" w:rsidRDefault="004E0A2F">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2F4577">
        <w:trPr>
          <w:trHeight w:val="20"/>
        </w:trPr>
        <w:tc>
          <w:tcPr>
            <w:tcW w:w="3342" w:type="dxa"/>
          </w:tcPr>
          <w:p w:rsidR="002F4577" w:rsidRDefault="002F4577">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rsidR="002F4577" w:rsidRDefault="002F457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rsidR="002F4577" w:rsidRDefault="004E0A2F">
      <w:pPr>
        <w:numPr>
          <w:ilvl w:val="0"/>
          <w:numId w:val="3"/>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rsidR="002F4577" w:rsidRDefault="002F4577">
      <w:pPr>
        <w:pBdr>
          <w:top w:val="nil"/>
          <w:left w:val="nil"/>
          <w:bottom w:val="nil"/>
          <w:right w:val="nil"/>
          <w:between w:val="nil"/>
        </w:pBdr>
        <w:spacing w:after="0"/>
        <w:ind w:left="720"/>
        <w:rPr>
          <w:rFonts w:ascii="Arial" w:eastAsia="Arial" w:hAnsi="Arial" w:cs="Arial"/>
          <w:b/>
          <w:color w:val="000000"/>
          <w:sz w:val="24"/>
          <w:szCs w:val="24"/>
        </w:rPr>
      </w:pPr>
    </w:p>
    <w:p w:rsidR="002F4577" w:rsidRDefault="004E0A2F">
      <w:pPr>
        <w:numPr>
          <w:ilvl w:val="1"/>
          <w:numId w:val="3"/>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 The Supplier shall:</w:t>
      </w:r>
    </w:p>
    <w:p w:rsidR="002F4577" w:rsidRDefault="002F4577">
      <w:pPr>
        <w:pBdr>
          <w:top w:val="nil"/>
          <w:left w:val="nil"/>
          <w:bottom w:val="nil"/>
          <w:right w:val="nil"/>
          <w:between w:val="nil"/>
        </w:pBdr>
        <w:spacing w:after="0"/>
        <w:ind w:left="720"/>
        <w:rPr>
          <w:rFonts w:ascii="Arial" w:eastAsia="Arial" w:hAnsi="Arial" w:cs="Arial"/>
          <w:color w:val="000000"/>
          <w:sz w:val="24"/>
          <w:szCs w:val="24"/>
        </w:rPr>
      </w:pPr>
    </w:p>
    <w:p w:rsidR="002F4577" w:rsidRDefault="004E0A2F">
      <w:pPr>
        <w:numPr>
          <w:ilvl w:val="2"/>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rsidR="002F4577" w:rsidRDefault="004E0A2F">
      <w:pPr>
        <w:numPr>
          <w:ilvl w:val="2"/>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within 90 days of awarding a Sub-Contract to a Subcontractor, update the notice on Contracts Finder with details of the successful Subcontractor; </w:t>
      </w:r>
    </w:p>
    <w:p w:rsidR="002F4577" w:rsidRDefault="004E0A2F">
      <w:pPr>
        <w:numPr>
          <w:ilvl w:val="2"/>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rsidR="002F4577" w:rsidRDefault="004E0A2F">
      <w:pPr>
        <w:numPr>
          <w:ilvl w:val="2"/>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provide reports on the information at Paragraph 2.1.3 to the Relevant Authority in the format and frequency as reasonably specified by the Relevant Authority; and </w:t>
      </w:r>
    </w:p>
    <w:p w:rsidR="002F4577" w:rsidRDefault="004E0A2F">
      <w:pPr>
        <w:numPr>
          <w:ilvl w:val="2"/>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promote Contracts Finder to its suppliers and encourage those organisations to register on Contracts Finder. </w:t>
      </w:r>
    </w:p>
    <w:p w:rsidR="002F4577" w:rsidRDefault="002F4577">
      <w:pPr>
        <w:pBdr>
          <w:top w:val="nil"/>
          <w:left w:val="nil"/>
          <w:bottom w:val="nil"/>
          <w:right w:val="nil"/>
          <w:between w:val="nil"/>
        </w:pBdr>
        <w:spacing w:after="0"/>
        <w:ind w:left="1080"/>
        <w:rPr>
          <w:rFonts w:ascii="Arial" w:eastAsia="Arial" w:hAnsi="Arial" w:cs="Arial"/>
          <w:color w:val="000000"/>
          <w:sz w:val="24"/>
          <w:szCs w:val="24"/>
        </w:rPr>
      </w:pPr>
    </w:p>
    <w:p w:rsidR="002F4577" w:rsidRDefault="002F4577">
      <w:pPr>
        <w:pBdr>
          <w:top w:val="nil"/>
          <w:left w:val="nil"/>
          <w:bottom w:val="nil"/>
          <w:right w:val="nil"/>
          <w:between w:val="nil"/>
        </w:pBdr>
        <w:spacing w:after="0"/>
        <w:ind w:left="1080"/>
        <w:rPr>
          <w:rFonts w:ascii="Arial" w:eastAsia="Arial" w:hAnsi="Arial" w:cs="Arial"/>
          <w:color w:val="000000"/>
          <w:sz w:val="24"/>
          <w:szCs w:val="24"/>
        </w:rPr>
      </w:pPr>
    </w:p>
    <w:p w:rsidR="002F4577" w:rsidRDefault="004E0A2F">
      <w:pPr>
        <w:numPr>
          <w:ilvl w:val="1"/>
          <w:numId w:val="3"/>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Joint Schedule 12 shall provide a full and detailed description of the Sub-Contract opportunity with each of the mandatory fields being completed on Contracts Finder by the Supplier. </w:t>
      </w:r>
    </w:p>
    <w:p w:rsidR="002F4577" w:rsidRDefault="004E0A2F">
      <w:pPr>
        <w:numPr>
          <w:ilvl w:val="1"/>
          <w:numId w:val="3"/>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obligation on the Supplier set out at Paragraph 2.1 shall only apply in respect of Sub-Contract opportunities arising after the Effective Date.</w:t>
      </w:r>
    </w:p>
    <w:p w:rsidR="002F4577" w:rsidRDefault="004E0A2F">
      <w:pPr>
        <w:numPr>
          <w:ilvl w:val="1"/>
          <w:numId w:val="3"/>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to be advertised by the Supplier on Contracts Finder.  </w:t>
      </w:r>
    </w:p>
    <w:p w:rsidR="00462B41" w:rsidRDefault="00462B41" w:rsidP="00462B41">
      <w:pPr>
        <w:pBdr>
          <w:top w:val="nil"/>
          <w:left w:val="nil"/>
          <w:bottom w:val="nil"/>
          <w:right w:val="nil"/>
          <w:between w:val="nil"/>
        </w:pBdr>
        <w:spacing w:after="0"/>
        <w:ind w:left="360"/>
        <w:rPr>
          <w:rFonts w:ascii="Arial" w:eastAsia="Arial" w:hAnsi="Arial" w:cs="Arial"/>
          <w:color w:val="000000"/>
          <w:sz w:val="24"/>
          <w:szCs w:val="24"/>
        </w:rPr>
      </w:pPr>
    </w:p>
    <w:p w:rsidR="002F4577" w:rsidRDefault="004E0A2F">
      <w:pPr>
        <w:numPr>
          <w:ilvl w:val="0"/>
          <w:numId w:val="3"/>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rsidR="002F4577" w:rsidRDefault="002F4577">
      <w:pPr>
        <w:pBdr>
          <w:top w:val="nil"/>
          <w:left w:val="nil"/>
          <w:bottom w:val="nil"/>
          <w:right w:val="nil"/>
          <w:between w:val="nil"/>
        </w:pBdr>
        <w:spacing w:after="0"/>
        <w:ind w:left="720"/>
        <w:rPr>
          <w:rFonts w:ascii="Arial" w:eastAsia="Arial" w:hAnsi="Arial" w:cs="Arial"/>
          <w:b/>
          <w:color w:val="000000"/>
          <w:sz w:val="24"/>
          <w:szCs w:val="24"/>
        </w:rPr>
      </w:pPr>
    </w:p>
    <w:p w:rsidR="002F4577" w:rsidRDefault="004E0A2F">
      <w:pPr>
        <w:numPr>
          <w:ilvl w:val="1"/>
          <w:numId w:val="3"/>
        </w:numPr>
        <w:pBdr>
          <w:top w:val="nil"/>
          <w:left w:val="nil"/>
          <w:bottom w:val="nil"/>
          <w:right w:val="nil"/>
          <w:between w:val="nil"/>
        </w:pBdr>
        <w:ind w:left="993" w:hanging="567"/>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addition to any other management information requirements set out in the Contract, the Supplier agrees and acknowledges that it shall, at no charge, provide timely, full, accurate and complete SME management information reports (the</w:t>
      </w:r>
      <w:bookmarkStart w:id="1" w:name="_GoBack"/>
      <w:bookmarkEnd w:id="1"/>
      <w:r>
        <w:rPr>
          <w:rFonts w:ascii="Arial" w:eastAsia="Arial" w:hAnsi="Arial" w:cs="Arial"/>
          <w:color w:val="000000"/>
          <w:sz w:val="24"/>
          <w:szCs w:val="24"/>
        </w:rPr>
        <w:t xml:space="preserve"> “SME Management Information Reports”) to the Relevant Authority which incorporates the data described in the Supply Chain Information Report Template which is: </w:t>
      </w:r>
    </w:p>
    <w:p w:rsidR="002F4577" w:rsidRDefault="004E0A2F">
      <w:pPr>
        <w:numPr>
          <w:ilvl w:val="0"/>
          <w:numId w:val="2"/>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rsidR="002F4577" w:rsidRDefault="004E0A2F">
      <w:pPr>
        <w:numPr>
          <w:ilvl w:val="0"/>
          <w:numId w:val="2"/>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rsidR="002F4577" w:rsidRDefault="004E0A2F">
      <w:pPr>
        <w:numPr>
          <w:ilvl w:val="0"/>
          <w:numId w:val="2"/>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rsidR="002F4577" w:rsidRDefault="002F4577">
      <w:pPr>
        <w:pBdr>
          <w:top w:val="nil"/>
          <w:left w:val="nil"/>
          <w:bottom w:val="nil"/>
          <w:right w:val="nil"/>
          <w:between w:val="nil"/>
        </w:pBdr>
        <w:spacing w:after="0" w:line="360" w:lineRule="auto"/>
        <w:jc w:val="both"/>
        <w:rPr>
          <w:rFonts w:ascii="Arial" w:eastAsia="Arial" w:hAnsi="Arial" w:cs="Arial"/>
          <w:color w:val="000000"/>
          <w:sz w:val="24"/>
          <w:szCs w:val="24"/>
        </w:rPr>
      </w:pPr>
    </w:p>
    <w:p w:rsidR="002F4577" w:rsidRDefault="004E0A2F">
      <w:pPr>
        <w:numPr>
          <w:ilvl w:val="1"/>
          <w:numId w:val="3"/>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2F4577" w:rsidRDefault="002F4577">
      <w:pPr>
        <w:pBdr>
          <w:top w:val="nil"/>
          <w:left w:val="nil"/>
          <w:bottom w:val="nil"/>
          <w:right w:val="nil"/>
          <w:between w:val="nil"/>
        </w:pBdr>
        <w:spacing w:after="0"/>
        <w:ind w:left="720"/>
        <w:rPr>
          <w:rFonts w:ascii="Arial" w:eastAsia="Arial" w:hAnsi="Arial" w:cs="Arial"/>
          <w:color w:val="000000"/>
          <w:sz w:val="24"/>
          <w:szCs w:val="24"/>
        </w:rPr>
      </w:pPr>
    </w:p>
    <w:p w:rsidR="007C5D32" w:rsidRDefault="004E0A2F">
      <w:pPr>
        <w:numPr>
          <w:ilvl w:val="1"/>
          <w:numId w:val="3"/>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rsidR="002F4577" w:rsidRDefault="007C5D32" w:rsidP="007C5D32">
      <w:pPr>
        <w:rPr>
          <w:rFonts w:ascii="Arial" w:eastAsia="Arial" w:hAnsi="Arial" w:cs="Arial"/>
          <w:color w:val="000000"/>
          <w:sz w:val="24"/>
          <w:szCs w:val="24"/>
        </w:rPr>
      </w:pPr>
      <w:r>
        <w:rPr>
          <w:rFonts w:ascii="Arial" w:eastAsia="Arial" w:hAnsi="Arial" w:cs="Arial"/>
          <w:color w:val="000000"/>
          <w:sz w:val="24"/>
          <w:szCs w:val="24"/>
        </w:rPr>
        <w:br w:type="page"/>
      </w:r>
    </w:p>
    <w:p w:rsidR="002F4577" w:rsidRDefault="004E0A2F">
      <w:pPr>
        <w:numPr>
          <w:ilvl w:val="0"/>
          <w:numId w:val="3"/>
        </w:numPr>
        <w:pBdr>
          <w:top w:val="nil"/>
          <w:left w:val="nil"/>
          <w:bottom w:val="nil"/>
          <w:right w:val="nil"/>
          <w:between w:val="nil"/>
        </w:pBdr>
        <w:rPr>
          <w:rFonts w:ascii="Arial" w:eastAsia="Arial" w:hAnsi="Arial" w:cs="Arial"/>
          <w:b/>
          <w:sz w:val="24"/>
          <w:szCs w:val="24"/>
        </w:rPr>
      </w:pPr>
      <w:r>
        <w:rPr>
          <w:rFonts w:ascii="Arial" w:eastAsia="Arial" w:hAnsi="Arial" w:cs="Arial"/>
          <w:b/>
          <w:sz w:val="24"/>
          <w:szCs w:val="24"/>
        </w:rPr>
        <w:lastRenderedPageBreak/>
        <w:t>Visibility of Supply Chain Personnel</w:t>
      </w:r>
    </w:p>
    <w:p w:rsidR="002F4577" w:rsidRDefault="004E0A2F">
      <w:pPr>
        <w:numPr>
          <w:ilvl w:val="1"/>
          <w:numId w:val="3"/>
        </w:numPr>
        <w:pBdr>
          <w:top w:val="nil"/>
          <w:left w:val="nil"/>
          <w:bottom w:val="nil"/>
          <w:right w:val="nil"/>
          <w:between w:val="nil"/>
        </w:pBdr>
        <w:spacing w:after="0"/>
        <w:ind w:left="993" w:hanging="633"/>
        <w:rPr>
          <w:rFonts w:ascii="Arial" w:eastAsia="Arial" w:hAnsi="Arial" w:cs="Arial"/>
          <w:sz w:val="24"/>
          <w:szCs w:val="24"/>
        </w:rPr>
      </w:pPr>
      <w:r>
        <w:rPr>
          <w:rFonts w:ascii="Arial" w:eastAsia="Arial" w:hAnsi="Arial" w:cs="Arial"/>
          <w:sz w:val="24"/>
          <w:szCs w:val="24"/>
        </w:rPr>
        <w:t>The supplier shall declare to the buyer whether a worker being supplied to deliver the contract/service is:</w:t>
      </w:r>
    </w:p>
    <w:p w:rsidR="002F4577" w:rsidRDefault="004E0A2F">
      <w:pPr>
        <w:numPr>
          <w:ilvl w:val="0"/>
          <w:numId w:val="1"/>
        </w:numPr>
        <w:shd w:val="clear" w:color="auto" w:fill="FFFFFF"/>
        <w:spacing w:after="0" w:line="244" w:lineRule="auto"/>
        <w:rPr>
          <w:rFonts w:ascii="Arial" w:eastAsia="Arial" w:hAnsi="Arial" w:cs="Arial"/>
          <w:color w:val="222222"/>
        </w:rPr>
      </w:pPr>
      <w:r>
        <w:rPr>
          <w:rFonts w:ascii="Arial" w:eastAsia="Arial" w:hAnsi="Arial" w:cs="Arial"/>
          <w:color w:val="222222"/>
          <w:sz w:val="24"/>
          <w:szCs w:val="24"/>
        </w:rPr>
        <w:t xml:space="preserve">engaging via a </w:t>
      </w:r>
      <w:hyperlink r:id="rId8">
        <w:r>
          <w:rPr>
            <w:rFonts w:ascii="Arial" w:eastAsia="Arial" w:hAnsi="Arial" w:cs="Arial"/>
            <w:color w:val="1155CC"/>
            <w:sz w:val="24"/>
            <w:szCs w:val="24"/>
            <w:u w:val="single"/>
          </w:rPr>
          <w:t>qualifying intermediary</w:t>
        </w:r>
      </w:hyperlink>
      <w:r>
        <w:rPr>
          <w:rFonts w:ascii="Arial" w:eastAsia="Arial" w:hAnsi="Arial" w:cs="Arial"/>
          <w:color w:val="222222"/>
          <w:sz w:val="24"/>
          <w:szCs w:val="24"/>
        </w:rPr>
        <w:t xml:space="preserve"> under the </w:t>
      </w:r>
      <w:hyperlink r:id="rId9">
        <w:r>
          <w:rPr>
            <w:rFonts w:ascii="Arial" w:eastAsia="Arial" w:hAnsi="Arial" w:cs="Arial"/>
            <w:color w:val="1155CC"/>
            <w:sz w:val="24"/>
            <w:szCs w:val="24"/>
            <w:u w:val="single"/>
          </w:rPr>
          <w:t>off-payroll working rules</w:t>
        </w:r>
      </w:hyperlink>
      <w:r>
        <w:rPr>
          <w:rFonts w:ascii="Arial" w:eastAsia="Arial" w:hAnsi="Arial" w:cs="Arial"/>
          <w:color w:val="222222"/>
          <w:sz w:val="24"/>
          <w:szCs w:val="24"/>
        </w:rPr>
        <w:t xml:space="preserve"> (e.g. own limited company, or a company in which the worker has a shareholding - this could include a shareholding in the main supplier itself)</w:t>
      </w:r>
    </w:p>
    <w:p w:rsidR="002F4577" w:rsidRDefault="004E0A2F">
      <w:pPr>
        <w:numPr>
          <w:ilvl w:val="0"/>
          <w:numId w:val="1"/>
        </w:numPr>
        <w:shd w:val="clear" w:color="auto" w:fill="FFFFFF"/>
        <w:spacing w:after="0" w:line="244" w:lineRule="auto"/>
        <w:rPr>
          <w:rFonts w:ascii="Arial" w:eastAsia="Arial" w:hAnsi="Arial" w:cs="Arial"/>
          <w:color w:val="222222"/>
        </w:rPr>
      </w:pPr>
      <w:r>
        <w:rPr>
          <w:rFonts w:ascii="Arial" w:eastAsia="Arial" w:hAnsi="Arial" w:cs="Arial"/>
          <w:color w:val="222222"/>
          <w:sz w:val="24"/>
          <w:szCs w:val="24"/>
        </w:rPr>
        <w:t>a partner in a partnership (could also represent a qualifying intermediary depending on the circumstances)</w:t>
      </w:r>
    </w:p>
    <w:p w:rsidR="002F4577" w:rsidRDefault="004E0A2F">
      <w:pPr>
        <w:numPr>
          <w:ilvl w:val="0"/>
          <w:numId w:val="1"/>
        </w:numPr>
        <w:shd w:val="clear" w:color="auto" w:fill="FFFFFF"/>
        <w:spacing w:after="0" w:line="244" w:lineRule="auto"/>
        <w:rPr>
          <w:rFonts w:ascii="Arial" w:eastAsia="Arial" w:hAnsi="Arial" w:cs="Arial"/>
          <w:color w:val="222222"/>
        </w:rPr>
      </w:pPr>
      <w:r>
        <w:rPr>
          <w:rFonts w:ascii="Arial" w:eastAsia="Arial" w:hAnsi="Arial" w:cs="Arial"/>
          <w:color w:val="222222"/>
          <w:sz w:val="24"/>
          <w:szCs w:val="24"/>
        </w:rPr>
        <w:t>an employee of the supplier</w:t>
      </w:r>
    </w:p>
    <w:p w:rsidR="002F4577" w:rsidRDefault="004E0A2F">
      <w:pPr>
        <w:numPr>
          <w:ilvl w:val="0"/>
          <w:numId w:val="1"/>
        </w:numPr>
        <w:shd w:val="clear" w:color="auto" w:fill="FFFFFF"/>
        <w:spacing w:after="0" w:line="244" w:lineRule="auto"/>
        <w:rPr>
          <w:rFonts w:ascii="Arial" w:eastAsia="Arial" w:hAnsi="Arial" w:cs="Arial"/>
          <w:color w:val="222222"/>
        </w:rPr>
      </w:pPr>
      <w:r>
        <w:rPr>
          <w:rFonts w:ascii="Arial" w:eastAsia="Arial" w:hAnsi="Arial" w:cs="Arial"/>
          <w:color w:val="222222"/>
          <w:sz w:val="24"/>
          <w:szCs w:val="24"/>
        </w:rPr>
        <w:t>an employee of another entity in the supply chain (e.g. an umbrella company)</w:t>
      </w:r>
    </w:p>
    <w:p w:rsidR="002F4577" w:rsidRDefault="004E0A2F">
      <w:pPr>
        <w:numPr>
          <w:ilvl w:val="0"/>
          <w:numId w:val="1"/>
        </w:numPr>
        <w:shd w:val="clear" w:color="auto" w:fill="FFFFFF"/>
        <w:spacing w:after="0" w:line="244" w:lineRule="auto"/>
        <w:rPr>
          <w:rFonts w:ascii="Arial" w:eastAsia="Arial" w:hAnsi="Arial" w:cs="Arial"/>
          <w:color w:val="222222"/>
        </w:rPr>
      </w:pPr>
      <w:r>
        <w:rPr>
          <w:rFonts w:ascii="Arial" w:eastAsia="Arial" w:hAnsi="Arial" w:cs="Arial"/>
          <w:color w:val="222222"/>
          <w:sz w:val="24"/>
          <w:szCs w:val="24"/>
        </w:rPr>
        <w:t>engaged with the supplier as a sole trader on a self-employed basis</w:t>
      </w:r>
    </w:p>
    <w:p w:rsidR="002F4577" w:rsidRDefault="004E0A2F">
      <w:pPr>
        <w:numPr>
          <w:ilvl w:val="0"/>
          <w:numId w:val="1"/>
        </w:numPr>
        <w:shd w:val="clear" w:color="auto" w:fill="FFFFFF"/>
        <w:spacing w:after="0" w:line="244" w:lineRule="auto"/>
        <w:rPr>
          <w:rFonts w:ascii="Arial" w:eastAsia="Arial" w:hAnsi="Arial" w:cs="Arial"/>
          <w:color w:val="222222"/>
        </w:rPr>
      </w:pPr>
      <w:r>
        <w:rPr>
          <w:rFonts w:ascii="Arial" w:eastAsia="Arial" w:hAnsi="Arial" w:cs="Arial"/>
          <w:color w:val="222222"/>
          <w:sz w:val="24"/>
          <w:szCs w:val="24"/>
        </w:rPr>
        <w:t>any other arrangement not listed above.</w:t>
      </w:r>
    </w:p>
    <w:p w:rsidR="002F4577" w:rsidRDefault="002F4577">
      <w:pPr>
        <w:pBdr>
          <w:top w:val="nil"/>
          <w:left w:val="nil"/>
          <w:bottom w:val="nil"/>
          <w:right w:val="nil"/>
          <w:between w:val="nil"/>
        </w:pBdr>
        <w:spacing w:after="0"/>
        <w:rPr>
          <w:rFonts w:ascii="Arial" w:eastAsia="Arial" w:hAnsi="Arial" w:cs="Arial"/>
          <w:sz w:val="24"/>
          <w:szCs w:val="24"/>
        </w:rPr>
      </w:pPr>
    </w:p>
    <w:p w:rsidR="002F4577" w:rsidRDefault="002F4577">
      <w:pPr>
        <w:pBdr>
          <w:top w:val="nil"/>
          <w:left w:val="nil"/>
          <w:bottom w:val="nil"/>
          <w:right w:val="nil"/>
          <w:between w:val="nil"/>
        </w:pBdr>
        <w:ind w:left="720"/>
        <w:rPr>
          <w:rFonts w:ascii="Arial" w:eastAsia="Arial" w:hAnsi="Arial" w:cs="Arial"/>
          <w:sz w:val="24"/>
          <w:szCs w:val="24"/>
        </w:rPr>
      </w:pPr>
    </w:p>
    <w:p w:rsidR="002F4577" w:rsidRDefault="002F4577">
      <w:pPr>
        <w:ind w:left="720"/>
        <w:rPr>
          <w:rFonts w:ascii="Arial" w:eastAsia="Arial" w:hAnsi="Arial" w:cs="Arial"/>
          <w:sz w:val="11"/>
          <w:szCs w:val="11"/>
        </w:rPr>
      </w:pPr>
    </w:p>
    <w:p w:rsidR="002F4577" w:rsidRDefault="002F4577">
      <w:pPr>
        <w:pBdr>
          <w:top w:val="nil"/>
          <w:left w:val="nil"/>
          <w:bottom w:val="nil"/>
          <w:right w:val="nil"/>
          <w:between w:val="nil"/>
        </w:pBdr>
        <w:ind w:left="720"/>
        <w:rPr>
          <w:rFonts w:ascii="Arial" w:eastAsia="Arial" w:hAnsi="Arial" w:cs="Arial"/>
          <w:sz w:val="24"/>
          <w:szCs w:val="24"/>
        </w:rPr>
      </w:pPr>
    </w:p>
    <w:p w:rsidR="002F4577" w:rsidRDefault="002F4577">
      <w:pPr>
        <w:pBdr>
          <w:top w:val="nil"/>
          <w:left w:val="nil"/>
          <w:bottom w:val="nil"/>
          <w:right w:val="nil"/>
          <w:between w:val="nil"/>
        </w:pBdr>
        <w:rPr>
          <w:rFonts w:ascii="Arial" w:eastAsia="Arial" w:hAnsi="Arial" w:cs="Arial"/>
          <w:sz w:val="24"/>
          <w:szCs w:val="24"/>
        </w:rPr>
      </w:pPr>
    </w:p>
    <w:p w:rsidR="002F4577" w:rsidRDefault="002F4577">
      <w:pPr>
        <w:rPr>
          <w:rFonts w:ascii="Arial" w:eastAsia="Arial" w:hAnsi="Arial" w:cs="Arial"/>
          <w:sz w:val="24"/>
          <w:szCs w:val="24"/>
        </w:rPr>
      </w:pPr>
    </w:p>
    <w:p w:rsidR="00140523" w:rsidRDefault="00140523">
      <w:pPr>
        <w:rPr>
          <w:rFonts w:ascii="Arial" w:eastAsia="Arial" w:hAnsi="Arial" w:cs="Arial"/>
          <w:b/>
          <w:sz w:val="24"/>
          <w:szCs w:val="24"/>
        </w:rPr>
      </w:pPr>
      <w:r>
        <w:rPr>
          <w:rFonts w:ascii="Arial" w:eastAsia="Arial" w:hAnsi="Arial" w:cs="Arial"/>
          <w:b/>
          <w:sz w:val="24"/>
          <w:szCs w:val="24"/>
        </w:rPr>
        <w:br w:type="page"/>
      </w:r>
    </w:p>
    <w:p w:rsidR="002F4577" w:rsidRDefault="004E0A2F">
      <w:pPr>
        <w:ind w:left="360"/>
        <w:jc w:val="center"/>
        <w:rPr>
          <w:rFonts w:ascii="Arial" w:eastAsia="Arial" w:hAnsi="Arial" w:cs="Arial"/>
          <w:b/>
          <w:sz w:val="24"/>
          <w:szCs w:val="24"/>
        </w:rPr>
      </w:pPr>
      <w:r>
        <w:rPr>
          <w:rFonts w:ascii="Arial" w:eastAsia="Arial" w:hAnsi="Arial" w:cs="Arial"/>
          <w:b/>
          <w:sz w:val="24"/>
          <w:szCs w:val="24"/>
        </w:rPr>
        <w:lastRenderedPageBreak/>
        <w:t>Annex 1</w:t>
      </w:r>
    </w:p>
    <w:p w:rsidR="002F4577" w:rsidRDefault="004E0A2F">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p w:rsidR="002F4577" w:rsidRDefault="002F4577">
      <w:pPr>
        <w:rPr>
          <w:rFonts w:ascii="Arial" w:eastAsia="Arial" w:hAnsi="Arial" w:cs="Arial"/>
          <w:sz w:val="24"/>
          <w:szCs w:val="24"/>
        </w:rPr>
      </w:pPr>
    </w:p>
    <w:p w:rsidR="002F4577" w:rsidRDefault="002F4577"/>
    <w:bookmarkStart w:id="2" w:name="_heading=h.30j0zll" w:colFirst="0" w:colLast="0"/>
    <w:bookmarkEnd w:id="2"/>
    <w:p w:rsidR="002F4577" w:rsidRDefault="00140523">
      <w:pPr>
        <w:rPr>
          <w:rFonts w:ascii="Arial" w:eastAsia="Arial" w:hAnsi="Arial" w:cs="Arial"/>
          <w:sz w:val="24"/>
          <w:szCs w:val="24"/>
        </w:rPr>
      </w:pPr>
      <w:r>
        <w:rPr>
          <w:rFonts w:ascii="Arial" w:eastAsia="Arial" w:hAnsi="Arial" w:cs="Arial"/>
          <w:sz w:val="24"/>
          <w:szCs w:val="24"/>
        </w:rPr>
        <w:object w:dxaOrig="2303" w:dyaOrig="1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15pt;height:56.55pt" o:ole="">
            <v:imagedata r:id="rId10" o:title=""/>
          </v:shape>
          <o:OLEObject Type="Embed" ProgID="Excel.Sheet.12" ShapeID="_x0000_i1025" DrawAspect="Icon" ObjectID="_1777450120" r:id="rId11"/>
        </w:object>
      </w:r>
    </w:p>
    <w:p w:rsidR="002F4577" w:rsidRDefault="002F4577">
      <w:pPr>
        <w:rPr>
          <w:rFonts w:ascii="Arial" w:eastAsia="Arial" w:hAnsi="Arial" w:cs="Arial"/>
          <w:sz w:val="24"/>
          <w:szCs w:val="24"/>
        </w:rPr>
      </w:pPr>
    </w:p>
    <w:p w:rsidR="002F4577" w:rsidRDefault="002F4577">
      <w:pPr>
        <w:rPr>
          <w:rFonts w:ascii="Arial" w:eastAsia="Arial" w:hAnsi="Arial" w:cs="Arial"/>
          <w:sz w:val="24"/>
          <w:szCs w:val="24"/>
        </w:rPr>
      </w:pPr>
    </w:p>
    <w:sectPr w:rsidR="002F4577">
      <w:headerReference w:type="default" r:id="rId12"/>
      <w:footerReference w:type="defaul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6C4C" w:rsidRDefault="00E56C4C">
      <w:pPr>
        <w:spacing w:after="0" w:line="240" w:lineRule="auto"/>
      </w:pPr>
      <w:r>
        <w:separator/>
      </w:r>
    </w:p>
  </w:endnote>
  <w:endnote w:type="continuationSeparator" w:id="0">
    <w:p w:rsidR="00E56C4C" w:rsidRDefault="00E56C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4577" w:rsidRDefault="004E0A2F">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5A5B08">
      <w:rPr>
        <w:noProof/>
        <w:color w:val="000000"/>
      </w:rPr>
      <w:t>1</w:t>
    </w:r>
    <w:r>
      <w:rPr>
        <w:color w:val="000000"/>
      </w:rPr>
      <w:fldChar w:fldCharType="end"/>
    </w:r>
  </w:p>
  <w:p w:rsidR="002F4577" w:rsidRDefault="004E0A2F">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Ref: RM</w:t>
    </w:r>
    <w:r w:rsidR="005A5B08">
      <w:rPr>
        <w:rFonts w:ascii="Arial" w:eastAsia="Arial" w:hAnsi="Arial" w:cs="Arial"/>
        <w:color w:val="000000"/>
      </w:rPr>
      <w:t>6345</w:t>
    </w:r>
  </w:p>
  <w:p w:rsidR="002F4577" w:rsidRDefault="004E0A2F">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Project Version: 1.0</w:t>
    </w:r>
  </w:p>
  <w:p w:rsidR="002F4577" w:rsidRDefault="004E0A2F">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6C4C" w:rsidRDefault="00E56C4C">
      <w:pPr>
        <w:spacing w:after="0" w:line="240" w:lineRule="auto"/>
      </w:pPr>
      <w:r>
        <w:separator/>
      </w:r>
    </w:p>
  </w:footnote>
  <w:footnote w:type="continuationSeparator" w:id="0">
    <w:p w:rsidR="00E56C4C" w:rsidRDefault="00E56C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4577" w:rsidRDefault="004E0A2F">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rsidR="002F4577" w:rsidRDefault="004E0A2F">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w:t>
    </w:r>
    <w:r>
      <w:rPr>
        <w:rFonts w:ascii="Arial" w:eastAsia="Arial" w:hAnsi="Arial" w:cs="Arial"/>
      </w:rPr>
      <w:t>23</w:t>
    </w:r>
  </w:p>
  <w:p w:rsidR="002F4577" w:rsidRDefault="002F4577">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16B5E"/>
    <w:multiLevelType w:val="multilevel"/>
    <w:tmpl w:val="88E2EE7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46D175C1"/>
    <w:multiLevelType w:val="multilevel"/>
    <w:tmpl w:val="682844A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706473F6"/>
    <w:multiLevelType w:val="multilevel"/>
    <w:tmpl w:val="C944EAB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577"/>
    <w:rsid w:val="00140523"/>
    <w:rsid w:val="002F4577"/>
    <w:rsid w:val="00376E70"/>
    <w:rsid w:val="00462B41"/>
    <w:rsid w:val="004E0A2F"/>
    <w:rsid w:val="005A5B08"/>
    <w:rsid w:val="007379C8"/>
    <w:rsid w:val="007C5D32"/>
    <w:rsid w:val="00C1747F"/>
    <w:rsid w:val="00CA5BD2"/>
    <w:rsid w:val="00E56C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E09A54-9DA1-4F5E-BE68-CA5F720C3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8295396">
      <w:bodyDiv w:val="1"/>
      <w:marLeft w:val="0"/>
      <w:marRight w:val="0"/>
      <w:marTop w:val="0"/>
      <w:marBottom w:val="0"/>
      <w:divBdr>
        <w:top w:val="none" w:sz="0" w:space="0" w:color="auto"/>
        <w:left w:val="none" w:sz="0" w:space="0" w:color="auto"/>
        <w:bottom w:val="none" w:sz="0" w:space="0" w:color="auto"/>
        <w:right w:val="none" w:sz="0" w:space="0" w:color="auto"/>
      </w:divBdr>
      <w:divsChild>
        <w:div w:id="838424343">
          <w:marLeft w:val="-73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hmrc-internal-manuals/employment-status-manual/esm10003"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gov.uk/guidance/understanding-off-payroll-working-ir35"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3YOjhM1M0BBDc96l6gt1ZLerlA==">CgMxLjAyCGguZ2pkZ3hzMgloLjMwajB6bGw4AHIhMVpBNDFfM01EeTU4NVZaUTd0WEUzRXdDTk1Cb2JLdHpJ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709</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Nana Bowen</dc:creator>
  <cp:lastModifiedBy>Baljinder Sall</cp:lastModifiedBy>
  <cp:revision>2</cp:revision>
  <dcterms:created xsi:type="dcterms:W3CDTF">2024-05-17T10:22:00Z</dcterms:created>
  <dcterms:modified xsi:type="dcterms:W3CDTF">2024-05-17T10:22:00Z</dcterms:modified>
</cp:coreProperties>
</file>